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898B" w14:textId="77777777" w:rsidR="00302969" w:rsidRDefault="00302969" w:rsidP="00610E59">
      <w:pPr>
        <w:pStyle w:val="Heading1"/>
        <w:jc w:val="center"/>
        <w:rPr>
          <w:b/>
          <w:bCs/>
          <w:u w:val="single"/>
        </w:rPr>
      </w:pPr>
      <w:r>
        <w:rPr>
          <w:b/>
          <w:bCs/>
          <w:noProof/>
          <w:u w:val="single"/>
        </w:rPr>
        <w:drawing>
          <wp:inline distT="0" distB="0" distL="0" distR="0" wp14:anchorId="4D19AFA0" wp14:editId="1BD8FC31">
            <wp:extent cx="3822896" cy="762039"/>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22896" cy="762039"/>
                    </a:xfrm>
                    <a:prstGeom prst="rect">
                      <a:avLst/>
                    </a:prstGeom>
                  </pic:spPr>
                </pic:pic>
              </a:graphicData>
            </a:graphic>
          </wp:inline>
        </w:drawing>
      </w:r>
    </w:p>
    <w:p w14:paraId="796648B0" w14:textId="36445F9F" w:rsidR="00302969" w:rsidRPr="00302969" w:rsidRDefault="00610E59" w:rsidP="00302969">
      <w:pPr>
        <w:pStyle w:val="Heading1"/>
        <w:jc w:val="center"/>
        <w:rPr>
          <w:b/>
          <w:bCs/>
          <w:u w:val="single"/>
        </w:rPr>
      </w:pPr>
      <w:r w:rsidRPr="00610E59">
        <w:rPr>
          <w:b/>
          <w:bCs/>
          <w:u w:val="single"/>
        </w:rPr>
        <w:t>Drumglass High School</w:t>
      </w:r>
      <w:r w:rsidR="00302969">
        <w:rPr>
          <w:b/>
          <w:bCs/>
          <w:u w:val="single"/>
        </w:rPr>
        <w:t xml:space="preserve"> Disclosure Policy </w:t>
      </w:r>
    </w:p>
    <w:p w14:paraId="47E2A944" w14:textId="6EF715C5" w:rsidR="006D511B" w:rsidRDefault="006D511B" w:rsidP="006D511B">
      <w:pPr>
        <w:pStyle w:val="Heading1"/>
      </w:pPr>
      <w:r>
        <w:t xml:space="preserve">Public Interest Disclosure </w:t>
      </w:r>
      <w:r w:rsidR="00302969">
        <w:t>Act</w:t>
      </w:r>
      <w:r>
        <w:t xml:space="preserve"> (Whistleblowing)</w:t>
      </w:r>
    </w:p>
    <w:p w14:paraId="5D846AE5" w14:textId="77777777" w:rsidR="006D511B" w:rsidRDefault="006D511B" w:rsidP="006D511B">
      <w:pPr>
        <w:pStyle w:val="Heading2"/>
      </w:pPr>
    </w:p>
    <w:p w14:paraId="3C05C130" w14:textId="77777777" w:rsidR="006D511B" w:rsidRDefault="006D511B" w:rsidP="006D511B">
      <w:pPr>
        <w:pStyle w:val="Heading2"/>
      </w:pPr>
      <w:bookmarkStart w:id="0" w:name="_Toc26264532"/>
      <w:r>
        <w:t>Guidance in relation to suspected malpractice in examinations and assessments</w:t>
      </w:r>
      <w:bookmarkEnd w:id="0"/>
    </w:p>
    <w:p w14:paraId="43D11ACA" w14:textId="77777777" w:rsidR="006D511B" w:rsidRDefault="006D511B" w:rsidP="006D511B"/>
    <w:p w14:paraId="47FD94BE" w14:textId="15415245" w:rsidR="006D511B" w:rsidRDefault="006D511B" w:rsidP="006D511B">
      <w:r>
        <w:t>This guidance is principally for centre staff who may witness malpractice in examinations and assessments but may be unsure about what action to take.</w:t>
      </w:r>
    </w:p>
    <w:p w14:paraId="6640234C" w14:textId="77777777" w:rsidR="006D511B" w:rsidRDefault="006D511B" w:rsidP="006D511B">
      <w:r>
        <w:t>The Public Interest Disclosure Act (PIDA) gives legal protection to employees from being dismissed or penalised by their employers as a result of publicly disclosing (“blowing the whistle on”) certain serious concerns.</w:t>
      </w:r>
    </w:p>
    <w:p w14:paraId="4597187D" w14:textId="443369E0" w:rsidR="006D511B" w:rsidRDefault="006D511B" w:rsidP="00610E59">
      <w:pPr>
        <w:spacing w:line="240" w:lineRule="auto"/>
      </w:pPr>
      <w:r>
        <w:t>It is probable that your organisation has a whistleblowing policy. If it does not, you will still be protected under the PIDA. This allows you the opportunity to bring to your Senior Leadership Team’s attention possible corruption or non-conformance with legal obligations for example, but also when you suspect malpractice is taking place.</w:t>
      </w:r>
    </w:p>
    <w:p w14:paraId="5093533E" w14:textId="77777777" w:rsidR="006D511B" w:rsidRDefault="006D511B" w:rsidP="00610E59">
      <w:pPr>
        <w:pStyle w:val="Heading2"/>
      </w:pPr>
      <w:bookmarkStart w:id="1" w:name="_Toc26264533"/>
      <w:r>
        <w:t>What should you do if you see malpractice taking place in examinations or assessments?</w:t>
      </w:r>
      <w:bookmarkEnd w:id="1"/>
    </w:p>
    <w:p w14:paraId="3EED5793" w14:textId="29370B66" w:rsidR="006D511B" w:rsidRDefault="006D511B" w:rsidP="00610E59">
      <w:pPr>
        <w:spacing w:line="240" w:lineRule="auto"/>
      </w:pPr>
    </w:p>
    <w:p w14:paraId="3FBD1DA0" w14:textId="0486C33B" w:rsidR="00610E59" w:rsidRDefault="00610E59" w:rsidP="00610E59">
      <w:pPr>
        <w:spacing w:line="240" w:lineRule="auto"/>
      </w:pPr>
      <w:r>
        <w:t>If you see malpractice taking place within your subject area you should report the issue to your line manager.</w:t>
      </w:r>
    </w:p>
    <w:p w14:paraId="0B5DD167" w14:textId="3960C963" w:rsidR="00610E59" w:rsidRDefault="00610E59" w:rsidP="00610E59">
      <w:pPr>
        <w:spacing w:line="240" w:lineRule="auto"/>
      </w:pPr>
      <w:r>
        <w:t>If you see Exams Office staff engaging in malpractice then you should report the issue to the Head of Centre (Mrs Shilliday).</w:t>
      </w:r>
    </w:p>
    <w:p w14:paraId="3100CE13" w14:textId="77777777" w:rsidR="006D511B" w:rsidRDefault="006D511B" w:rsidP="00610E59">
      <w:pPr>
        <w:spacing w:line="240" w:lineRule="auto"/>
      </w:pPr>
      <w:r>
        <w:t>You will still be protected by the PIDA if:</w:t>
      </w:r>
    </w:p>
    <w:p w14:paraId="06EE6D79" w14:textId="77777777" w:rsidR="006D511B" w:rsidRDefault="006D511B" w:rsidP="00610E59">
      <w:pPr>
        <w:pStyle w:val="ListParagraph"/>
        <w:numPr>
          <w:ilvl w:val="0"/>
          <w:numId w:val="1"/>
        </w:numPr>
        <w:spacing w:line="240" w:lineRule="auto"/>
      </w:pPr>
      <w:r>
        <w:t>You reasonably believe that by making the disclosure to your employer you will be victimised; or</w:t>
      </w:r>
    </w:p>
    <w:p w14:paraId="03EA61C6" w14:textId="77777777" w:rsidR="006D511B" w:rsidRDefault="006D511B" w:rsidP="006D511B">
      <w:pPr>
        <w:pStyle w:val="ListParagraph"/>
        <w:numPr>
          <w:ilvl w:val="0"/>
          <w:numId w:val="1"/>
        </w:numPr>
      </w:pPr>
      <w:r>
        <w:t>You reasonably believe that by making the disclosure to your employer there is likely to be a cover-up; or</w:t>
      </w:r>
    </w:p>
    <w:p w14:paraId="51B59FDA" w14:textId="77777777" w:rsidR="006D511B" w:rsidRDefault="006D511B" w:rsidP="006D511B">
      <w:pPr>
        <w:pStyle w:val="ListParagraph"/>
        <w:numPr>
          <w:ilvl w:val="0"/>
          <w:numId w:val="1"/>
        </w:numPr>
      </w:pPr>
      <w:r>
        <w:t>The matter has previously been raised internally or with the sector regulator.</w:t>
      </w:r>
    </w:p>
    <w:p w14:paraId="3FC24D81" w14:textId="77777777" w:rsidR="006D511B" w:rsidRDefault="006D511B" w:rsidP="006D511B">
      <w:pPr>
        <w:pStyle w:val="Heading2"/>
      </w:pPr>
      <w:bookmarkStart w:id="2" w:name="_Toc26264534"/>
      <w:r>
        <w:t>Who do you talk to and what happens if you contact an awarding body?</w:t>
      </w:r>
      <w:bookmarkEnd w:id="2"/>
    </w:p>
    <w:p w14:paraId="1C242981" w14:textId="77777777" w:rsidR="006D511B" w:rsidRDefault="006D511B" w:rsidP="006D511B"/>
    <w:p w14:paraId="3258F2F6" w14:textId="77777777" w:rsidR="006D511B" w:rsidRDefault="006D511B" w:rsidP="006D511B">
      <w:r>
        <w:t>Each awarding body has staff who deal with malpractice. You can talk to them in confidence and explain your concerns.</w:t>
      </w:r>
    </w:p>
    <w:p w14:paraId="196D8A95" w14:textId="77777777" w:rsidR="006D511B" w:rsidRDefault="006D511B" w:rsidP="006D511B">
      <w:r>
        <w:t>The awarding body will:</w:t>
      </w:r>
    </w:p>
    <w:p w14:paraId="1A6A26FC" w14:textId="77777777" w:rsidR="006D511B" w:rsidRDefault="006D511B" w:rsidP="006D511B">
      <w:pPr>
        <w:pStyle w:val="ListParagraph"/>
        <w:numPr>
          <w:ilvl w:val="0"/>
          <w:numId w:val="2"/>
        </w:numPr>
      </w:pPr>
      <w:r>
        <w:t>Respect your rights under the PIDA;</w:t>
      </w:r>
    </w:p>
    <w:p w14:paraId="75665581" w14:textId="77777777" w:rsidR="006D511B" w:rsidRDefault="006D511B" w:rsidP="006D511B">
      <w:pPr>
        <w:pStyle w:val="ListParagraph"/>
        <w:numPr>
          <w:ilvl w:val="0"/>
          <w:numId w:val="2"/>
        </w:numPr>
      </w:pPr>
      <w:r>
        <w:t>Understand the difficult position that you are in;</w:t>
      </w:r>
    </w:p>
    <w:p w14:paraId="71EB2C66" w14:textId="77777777" w:rsidR="006D511B" w:rsidRDefault="006D511B" w:rsidP="006D511B">
      <w:pPr>
        <w:pStyle w:val="ListParagraph"/>
        <w:numPr>
          <w:ilvl w:val="0"/>
          <w:numId w:val="2"/>
        </w:numPr>
      </w:pPr>
      <w:r>
        <w:t>Have experience of similar situations; and</w:t>
      </w:r>
    </w:p>
    <w:p w14:paraId="66132CAE" w14:textId="77777777" w:rsidR="006D511B" w:rsidRDefault="006D511B" w:rsidP="006D511B">
      <w:pPr>
        <w:pStyle w:val="ListParagraph"/>
        <w:numPr>
          <w:ilvl w:val="0"/>
          <w:numId w:val="2"/>
        </w:numPr>
      </w:pPr>
      <w:r>
        <w:t>Explain the importance of supporting evidence and the sort of evidence that might help in your particular case.</w:t>
      </w:r>
    </w:p>
    <w:p w14:paraId="08A5F125" w14:textId="77777777" w:rsidR="006D511B" w:rsidRDefault="006D511B" w:rsidP="006D511B">
      <w:r>
        <w:lastRenderedPageBreak/>
        <w:t>The awarding body will make every effort to protect your identity, if that is what you wish, unless legally obliged to release it. This may be in the course of a police investigation, for example. Please be aware that it will not be possible for the awarding body to provide you with a report on the findings or outcome of any investigation that may ensue.</w:t>
      </w:r>
    </w:p>
    <w:p w14:paraId="6120DB6D" w14:textId="77777777" w:rsidR="006D511B" w:rsidRDefault="006D511B" w:rsidP="006D511B">
      <w:r>
        <w:t>Which awarding body is contacted will depend on the qualification where malpractice is suspected. You can contact a malpractice expert within a specific awarding body as shown below:</w:t>
      </w:r>
    </w:p>
    <w:p w14:paraId="448ECD46" w14:textId="77777777" w:rsidR="006D511B" w:rsidRDefault="006D511B" w:rsidP="006D511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19"/>
        <w:gridCol w:w="2693"/>
      </w:tblGrid>
      <w:tr w:rsidR="006D511B" w14:paraId="0894423F" w14:textId="77777777" w:rsidTr="00002C8E">
        <w:trPr>
          <w:jc w:val="center"/>
        </w:trPr>
        <w:tc>
          <w:tcPr>
            <w:tcW w:w="1276" w:type="dxa"/>
          </w:tcPr>
          <w:p w14:paraId="3565C6C1" w14:textId="77777777" w:rsidR="006D511B" w:rsidRDefault="006D511B" w:rsidP="00002C8E">
            <w:r>
              <w:t>AQA</w:t>
            </w:r>
          </w:p>
        </w:tc>
        <w:tc>
          <w:tcPr>
            <w:tcW w:w="3119" w:type="dxa"/>
          </w:tcPr>
          <w:p w14:paraId="1C86A92A" w14:textId="77777777" w:rsidR="006D511B" w:rsidRDefault="00140E3C" w:rsidP="00002C8E">
            <w:hyperlink r:id="rId9" w:history="1">
              <w:r w:rsidR="006D511B">
                <w:rPr>
                  <w:rStyle w:val="Hyperlink"/>
                </w:rPr>
                <w:t>irregularities-n@aqa.org.uk</w:t>
              </w:r>
            </w:hyperlink>
          </w:p>
        </w:tc>
        <w:tc>
          <w:tcPr>
            <w:tcW w:w="2693" w:type="dxa"/>
          </w:tcPr>
          <w:p w14:paraId="75147BEF" w14:textId="77777777" w:rsidR="006D511B" w:rsidRDefault="006D511B" w:rsidP="00002C8E">
            <w:r>
              <w:t>0161 455 5441</w:t>
            </w:r>
          </w:p>
          <w:p w14:paraId="2DE36B33" w14:textId="77777777" w:rsidR="006D511B" w:rsidRDefault="006D511B" w:rsidP="00002C8E"/>
        </w:tc>
      </w:tr>
      <w:tr w:rsidR="006D511B" w14:paraId="3690D0E6" w14:textId="77777777" w:rsidTr="00002C8E">
        <w:trPr>
          <w:jc w:val="center"/>
        </w:trPr>
        <w:tc>
          <w:tcPr>
            <w:tcW w:w="1276" w:type="dxa"/>
          </w:tcPr>
          <w:p w14:paraId="3ABE1FA3" w14:textId="77777777" w:rsidR="006D511B" w:rsidRDefault="006D511B" w:rsidP="00002C8E">
            <w:r>
              <w:t>CCEA</w:t>
            </w:r>
          </w:p>
        </w:tc>
        <w:tc>
          <w:tcPr>
            <w:tcW w:w="3119" w:type="dxa"/>
          </w:tcPr>
          <w:p w14:paraId="2AD08543" w14:textId="77777777" w:rsidR="006D511B" w:rsidRDefault="00140E3C" w:rsidP="00002C8E">
            <w:hyperlink r:id="rId10" w:history="1">
              <w:r w:rsidR="006D511B">
                <w:rPr>
                  <w:rStyle w:val="Hyperlink"/>
                </w:rPr>
                <w:t>malpractice@ccea.org.uk</w:t>
              </w:r>
            </w:hyperlink>
          </w:p>
        </w:tc>
        <w:tc>
          <w:tcPr>
            <w:tcW w:w="2693" w:type="dxa"/>
          </w:tcPr>
          <w:p w14:paraId="1C95150A" w14:textId="77777777" w:rsidR="006D511B" w:rsidRDefault="006D511B" w:rsidP="00002C8E">
            <w:r>
              <w:t>028 90 261200 ext 2203</w:t>
            </w:r>
          </w:p>
          <w:p w14:paraId="1E54CEDE" w14:textId="77777777" w:rsidR="006D511B" w:rsidRDefault="006D511B" w:rsidP="00002C8E"/>
        </w:tc>
      </w:tr>
      <w:tr w:rsidR="006D511B" w14:paraId="45E1A7D2" w14:textId="77777777" w:rsidTr="00002C8E">
        <w:trPr>
          <w:jc w:val="center"/>
        </w:trPr>
        <w:tc>
          <w:tcPr>
            <w:tcW w:w="1276" w:type="dxa"/>
          </w:tcPr>
          <w:p w14:paraId="6CAACE82" w14:textId="77777777" w:rsidR="006D511B" w:rsidRDefault="006D511B" w:rsidP="00002C8E">
            <w:r>
              <w:t>OCR</w:t>
            </w:r>
          </w:p>
        </w:tc>
        <w:tc>
          <w:tcPr>
            <w:tcW w:w="3119" w:type="dxa"/>
          </w:tcPr>
          <w:p w14:paraId="6FC151F3" w14:textId="77777777" w:rsidR="006D511B" w:rsidRDefault="00140E3C" w:rsidP="00002C8E">
            <w:hyperlink r:id="rId11" w:history="1">
              <w:r w:rsidR="006D511B">
                <w:rPr>
                  <w:rStyle w:val="Hyperlink"/>
                </w:rPr>
                <w:t>malpractice@ocr.org.uk</w:t>
              </w:r>
            </w:hyperlink>
            <w:r w:rsidR="006D511B">
              <w:t xml:space="preserve"> </w:t>
            </w:r>
          </w:p>
          <w:p w14:paraId="6671D9E0" w14:textId="77777777" w:rsidR="006D511B" w:rsidRDefault="006D511B" w:rsidP="00002C8E"/>
        </w:tc>
        <w:tc>
          <w:tcPr>
            <w:tcW w:w="2693" w:type="dxa"/>
          </w:tcPr>
          <w:p w14:paraId="38C0574B" w14:textId="52FDAAB9" w:rsidR="00610E59" w:rsidRDefault="006D511B" w:rsidP="00002C8E">
            <w:r>
              <w:t>01223 553998</w:t>
            </w:r>
          </w:p>
        </w:tc>
      </w:tr>
      <w:tr w:rsidR="006D511B" w14:paraId="30502D31" w14:textId="77777777" w:rsidTr="00002C8E">
        <w:trPr>
          <w:jc w:val="center"/>
        </w:trPr>
        <w:tc>
          <w:tcPr>
            <w:tcW w:w="1276" w:type="dxa"/>
          </w:tcPr>
          <w:p w14:paraId="7CEFF961" w14:textId="2403FA93" w:rsidR="006D511B" w:rsidRDefault="006D511B" w:rsidP="00002C8E">
            <w:r>
              <w:t>Edexcel</w:t>
            </w:r>
          </w:p>
        </w:tc>
        <w:tc>
          <w:tcPr>
            <w:tcW w:w="3119" w:type="dxa"/>
          </w:tcPr>
          <w:p w14:paraId="1D3EF321" w14:textId="77777777" w:rsidR="006D511B" w:rsidRDefault="00140E3C" w:rsidP="00002C8E">
            <w:hyperlink r:id="rId12" w:history="1">
              <w:r w:rsidR="006D511B">
                <w:rPr>
                  <w:rStyle w:val="Hyperlink"/>
                </w:rPr>
                <w:t>pqsmalpractice@pearson.com</w:t>
              </w:r>
            </w:hyperlink>
            <w:r w:rsidR="006D511B">
              <w:t xml:space="preserve"> </w:t>
            </w:r>
          </w:p>
          <w:p w14:paraId="1301FA41" w14:textId="77777777" w:rsidR="006D511B" w:rsidRDefault="006D511B" w:rsidP="00002C8E"/>
        </w:tc>
        <w:tc>
          <w:tcPr>
            <w:tcW w:w="2693" w:type="dxa"/>
          </w:tcPr>
          <w:p w14:paraId="4393F735" w14:textId="77777777" w:rsidR="00610E59" w:rsidRDefault="006D511B" w:rsidP="00002C8E">
            <w:r>
              <w:t>020 7190 4455</w:t>
            </w:r>
          </w:p>
          <w:p w14:paraId="4DEA4B1B" w14:textId="688B5049" w:rsidR="00610E59" w:rsidRDefault="00610E59" w:rsidP="00002C8E"/>
        </w:tc>
      </w:tr>
      <w:tr w:rsidR="00610E59" w14:paraId="52068A59" w14:textId="77777777" w:rsidTr="00002C8E">
        <w:trPr>
          <w:jc w:val="center"/>
        </w:trPr>
        <w:tc>
          <w:tcPr>
            <w:tcW w:w="1276" w:type="dxa"/>
          </w:tcPr>
          <w:p w14:paraId="5A487CDF" w14:textId="1D7654E5" w:rsidR="00610E59" w:rsidRDefault="00610E59" w:rsidP="00002C8E">
            <w:r>
              <w:t>OCN NI</w:t>
            </w:r>
          </w:p>
        </w:tc>
        <w:tc>
          <w:tcPr>
            <w:tcW w:w="3119" w:type="dxa"/>
          </w:tcPr>
          <w:p w14:paraId="29EB4B28" w14:textId="70508D50" w:rsidR="00610E59" w:rsidRDefault="00140E3C" w:rsidP="00002C8E">
            <w:hyperlink r:id="rId13" w:history="1">
              <w:r w:rsidR="00610E59" w:rsidRPr="00FC6DE6">
                <w:rPr>
                  <w:rStyle w:val="Hyperlink"/>
                </w:rPr>
                <w:t>compliance@ocnni.org.uk</w:t>
              </w:r>
            </w:hyperlink>
          </w:p>
        </w:tc>
        <w:tc>
          <w:tcPr>
            <w:tcW w:w="2693" w:type="dxa"/>
          </w:tcPr>
          <w:p w14:paraId="42AF16B2" w14:textId="17BCC807" w:rsidR="00610E59" w:rsidRDefault="00610E59" w:rsidP="00002C8E">
            <w:r>
              <w:t>02890463990</w:t>
            </w:r>
          </w:p>
        </w:tc>
      </w:tr>
    </w:tbl>
    <w:p w14:paraId="0EE2773D" w14:textId="77777777" w:rsidR="006D511B" w:rsidRDefault="006D511B" w:rsidP="006D511B"/>
    <w:p w14:paraId="210508BF" w14:textId="77777777" w:rsidR="006D511B" w:rsidRDefault="006D511B" w:rsidP="006D511B">
      <w:r>
        <w:t>You may find the following websites useful:</w:t>
      </w:r>
    </w:p>
    <w:p w14:paraId="592D59F5" w14:textId="77777777" w:rsidR="006D511B" w:rsidRDefault="006D511B" w:rsidP="006D511B">
      <w:r>
        <w:t>JCQ:</w:t>
      </w:r>
    </w:p>
    <w:p w14:paraId="3BE0EC4A" w14:textId="77777777" w:rsidR="006D511B" w:rsidRDefault="00140E3C" w:rsidP="006D511B">
      <w:hyperlink r:id="rId14" w:history="1">
        <w:r w:rsidR="006D511B">
          <w:rPr>
            <w:rStyle w:val="Hyperlink"/>
          </w:rPr>
          <w:t>http://www.jcq.org.uk/exams-office/malpractice</w:t>
        </w:r>
      </w:hyperlink>
    </w:p>
    <w:p w14:paraId="3ED59605" w14:textId="77777777" w:rsidR="006D511B" w:rsidRDefault="006D511B" w:rsidP="006D511B">
      <w:r>
        <w:t>Public Concern at Work:</w:t>
      </w:r>
    </w:p>
    <w:p w14:paraId="22E90E11" w14:textId="77777777" w:rsidR="006D511B" w:rsidRDefault="00140E3C" w:rsidP="006D511B">
      <w:hyperlink r:id="rId15" w:history="1">
        <w:r w:rsidR="006D511B">
          <w:rPr>
            <w:rStyle w:val="Hyperlink"/>
          </w:rPr>
          <w:t>http://www.pcaw.org.uk/</w:t>
        </w:r>
      </w:hyperlink>
    </w:p>
    <w:p w14:paraId="61CD6A41" w14:textId="77777777" w:rsidR="006D511B" w:rsidRDefault="006D511B" w:rsidP="006D511B">
      <w:r>
        <w:t>Ofqual:</w:t>
      </w:r>
    </w:p>
    <w:p w14:paraId="207235C7" w14:textId="77777777" w:rsidR="006D511B" w:rsidRDefault="00140E3C" w:rsidP="006D511B">
      <w:hyperlink r:id="rId16" w:history="1">
        <w:r w:rsidR="006D511B">
          <w:rPr>
            <w:rStyle w:val="Hyperlink"/>
          </w:rPr>
          <w:t>https://www.gov.uk/government/uploads/system/uploads/attachment_data/file/470563/2014-05-02-whistleblowing-policy-raising-concerns-about-a-regulated-qualification-or-a-recognised-awarding-organisation.pdf</w:t>
        </w:r>
      </w:hyperlink>
    </w:p>
    <w:p w14:paraId="5B0117FD" w14:textId="370FA51C" w:rsidR="006D511B" w:rsidRDefault="00167E98">
      <w:r>
        <w:t>Date Created: 10 November 2022</w:t>
      </w:r>
    </w:p>
    <w:p w14:paraId="6E4983B5" w14:textId="77777777" w:rsidR="00302969" w:rsidRDefault="00302969">
      <w:r>
        <w:t xml:space="preserve">Policy Ratified by Board of Governors: </w:t>
      </w:r>
    </w:p>
    <w:p w14:paraId="6E3DFFB5" w14:textId="10C9DC2C" w:rsidR="00302969" w:rsidRDefault="00302969">
      <w:r>
        <w:t>Signed</w:t>
      </w:r>
      <w:r w:rsidR="00140E3C">
        <w:t xml:space="preserve"> M Shilliday</w:t>
      </w:r>
    </w:p>
    <w:p w14:paraId="04722D59" w14:textId="402B2885" w:rsidR="00302969" w:rsidRDefault="00302969">
      <w:r>
        <w:t>Dated</w:t>
      </w:r>
      <w:r w:rsidR="00140E3C">
        <w:t xml:space="preserve"> 21 November 2022</w:t>
      </w:r>
    </w:p>
    <w:p w14:paraId="4D15EF7D" w14:textId="42BE18CD" w:rsidR="00302969" w:rsidRDefault="00302969">
      <w:r>
        <w:t>Due date to be reviewed 2024</w:t>
      </w:r>
    </w:p>
    <w:sectPr w:rsidR="00302969">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28C0" w14:textId="77777777" w:rsidR="00426C5A" w:rsidRDefault="00610E59">
      <w:pPr>
        <w:spacing w:after="0" w:line="240" w:lineRule="auto"/>
      </w:pPr>
      <w:r>
        <w:separator/>
      </w:r>
    </w:p>
  </w:endnote>
  <w:endnote w:type="continuationSeparator" w:id="0">
    <w:p w14:paraId="29288CFB" w14:textId="77777777" w:rsidR="00426C5A" w:rsidRDefault="0061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75E2" w14:textId="77777777" w:rsidR="00302969" w:rsidRDefault="0030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D7ED" w14:textId="36186C78" w:rsidR="00F76E50" w:rsidRDefault="00302969">
    <w:pPr>
      <w:pStyle w:val="Footer"/>
      <w:tabs>
        <w:tab w:val="clear" w:pos="9026"/>
        <w:tab w:val="right" w:pos="9781"/>
      </w:tabs>
      <w:rPr>
        <w:sz w:val="18"/>
        <w:szCs w:val="18"/>
      </w:rPr>
    </w:pPr>
    <w:r>
      <w:rPr>
        <w:sz w:val="18"/>
        <w:szCs w:val="18"/>
      </w:rPr>
      <w:t>Disclosure</w:t>
    </w:r>
    <w:r w:rsidR="006D511B">
      <w:rPr>
        <w:sz w:val="18"/>
        <w:szCs w:val="18"/>
      </w:rPr>
      <w:t xml:space="preserve"> Policy</w:t>
    </w:r>
    <w:r w:rsidR="006D511B">
      <w:rPr>
        <w:sz w:val="18"/>
        <w:szCs w:val="18"/>
      </w:rPr>
      <w:tab/>
    </w:r>
    <w:r w:rsidR="006D511B">
      <w:rPr>
        <w:sz w:val="18"/>
        <w:szCs w:val="18"/>
      </w:rPr>
      <w:tab/>
    </w:r>
    <w:r w:rsidR="006D511B">
      <w:rPr>
        <w:sz w:val="18"/>
        <w:szCs w:val="18"/>
      </w:rPr>
      <w:fldChar w:fldCharType="begin"/>
    </w:r>
    <w:r w:rsidR="006D511B">
      <w:rPr>
        <w:sz w:val="18"/>
        <w:szCs w:val="18"/>
      </w:rPr>
      <w:instrText xml:space="preserve"> PAGE   \* MERGEFORMAT </w:instrText>
    </w:r>
    <w:r w:rsidR="006D511B">
      <w:rPr>
        <w:sz w:val="18"/>
        <w:szCs w:val="18"/>
      </w:rPr>
      <w:fldChar w:fldCharType="separate"/>
    </w:r>
    <w:r w:rsidR="006D511B">
      <w:rPr>
        <w:noProof/>
        <w:sz w:val="18"/>
        <w:szCs w:val="18"/>
      </w:rPr>
      <w:t>2</w:t>
    </w:r>
    <w:r w:rsidR="006D511B">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0BDA" w14:textId="77777777" w:rsidR="00302969" w:rsidRDefault="0030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24D8" w14:textId="77777777" w:rsidR="00426C5A" w:rsidRDefault="00610E59">
      <w:pPr>
        <w:spacing w:after="0" w:line="240" w:lineRule="auto"/>
      </w:pPr>
      <w:r>
        <w:separator/>
      </w:r>
    </w:p>
  </w:footnote>
  <w:footnote w:type="continuationSeparator" w:id="0">
    <w:p w14:paraId="1CC482F4" w14:textId="77777777" w:rsidR="00426C5A" w:rsidRDefault="00610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719B" w14:textId="77777777" w:rsidR="00302969" w:rsidRDefault="0030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4C3" w14:textId="77777777" w:rsidR="00302969" w:rsidRDefault="00302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E391" w14:textId="77777777" w:rsidR="00302969" w:rsidRDefault="00302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52B4A"/>
    <w:multiLevelType w:val="hybridMultilevel"/>
    <w:tmpl w:val="D96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E0C32"/>
    <w:multiLevelType w:val="hybridMultilevel"/>
    <w:tmpl w:val="31D4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1B"/>
    <w:rsid w:val="00140E3C"/>
    <w:rsid w:val="00167E98"/>
    <w:rsid w:val="00302969"/>
    <w:rsid w:val="00426C5A"/>
    <w:rsid w:val="00610E59"/>
    <w:rsid w:val="006D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0119"/>
  <w15:chartTrackingRefBased/>
  <w15:docId w15:val="{01948CC2-3859-42AF-B7F5-E1D34DCA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1B"/>
    <w:pPr>
      <w:spacing w:line="276" w:lineRule="auto"/>
    </w:pPr>
    <w:rPr>
      <w:rFonts w:eastAsiaTheme="minorEastAsia"/>
      <w:sz w:val="21"/>
      <w:szCs w:val="21"/>
    </w:rPr>
  </w:style>
  <w:style w:type="paragraph" w:styleId="Heading1">
    <w:name w:val="heading 1"/>
    <w:basedOn w:val="Normal"/>
    <w:next w:val="Normal"/>
    <w:link w:val="Heading1Char"/>
    <w:uiPriority w:val="9"/>
    <w:qFormat/>
    <w:rsid w:val="006D511B"/>
    <w:pPr>
      <w:keepNext/>
      <w:keepLines/>
      <w:pBdr>
        <w:bottom w:val="single" w:sz="4" w:space="2" w:color="ED7D31" w:themeColor="accent2"/>
      </w:pBdr>
      <w:spacing w:before="360" w:after="120" w:line="240" w:lineRule="auto"/>
      <w:outlineLvl w:val="0"/>
    </w:pPr>
    <w:rPr>
      <w:rFonts w:eastAsiaTheme="majorEastAsia" w:cstheme="majorBidi"/>
      <w:color w:val="262626" w:themeColor="text1" w:themeTint="D9"/>
      <w:sz w:val="32"/>
      <w:szCs w:val="40"/>
    </w:rPr>
  </w:style>
  <w:style w:type="paragraph" w:styleId="Heading2">
    <w:name w:val="heading 2"/>
    <w:basedOn w:val="Normal"/>
    <w:next w:val="Normal"/>
    <w:link w:val="Heading2Char"/>
    <w:uiPriority w:val="9"/>
    <w:unhideWhenUsed/>
    <w:qFormat/>
    <w:rsid w:val="006D511B"/>
    <w:pPr>
      <w:keepNext/>
      <w:keepLines/>
      <w:spacing w:before="120" w:after="0" w:line="240" w:lineRule="auto"/>
      <w:outlineLvl w:val="1"/>
    </w:pPr>
    <w:rPr>
      <w:rFonts w:eastAsiaTheme="majorEastAsia" w:cstheme="majorBidi"/>
      <w:color w:val="000000" w:themeColor="text1"/>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11B"/>
    <w:rPr>
      <w:rFonts w:eastAsiaTheme="majorEastAsia" w:cstheme="majorBidi"/>
      <w:color w:val="262626" w:themeColor="text1" w:themeTint="D9"/>
      <w:sz w:val="32"/>
      <w:szCs w:val="40"/>
    </w:rPr>
  </w:style>
  <w:style w:type="character" w:customStyle="1" w:styleId="Heading2Char">
    <w:name w:val="Heading 2 Char"/>
    <w:basedOn w:val="DefaultParagraphFont"/>
    <w:link w:val="Heading2"/>
    <w:uiPriority w:val="9"/>
    <w:rsid w:val="006D511B"/>
    <w:rPr>
      <w:rFonts w:eastAsiaTheme="majorEastAsia" w:cstheme="majorBidi"/>
      <w:color w:val="000000" w:themeColor="text1"/>
      <w:sz w:val="26"/>
      <w:szCs w:val="36"/>
    </w:rPr>
  </w:style>
  <w:style w:type="paragraph" w:styleId="Footer">
    <w:name w:val="footer"/>
    <w:basedOn w:val="Normal"/>
    <w:link w:val="FooterChar"/>
    <w:rsid w:val="006D511B"/>
    <w:pPr>
      <w:tabs>
        <w:tab w:val="center" w:pos="4513"/>
        <w:tab w:val="right" w:pos="9026"/>
      </w:tabs>
    </w:pPr>
  </w:style>
  <w:style w:type="character" w:customStyle="1" w:styleId="FooterChar">
    <w:name w:val="Footer Char"/>
    <w:basedOn w:val="DefaultParagraphFont"/>
    <w:link w:val="Footer"/>
    <w:rsid w:val="006D511B"/>
    <w:rPr>
      <w:rFonts w:eastAsiaTheme="minorEastAsia"/>
      <w:sz w:val="21"/>
      <w:szCs w:val="21"/>
    </w:rPr>
  </w:style>
  <w:style w:type="character" w:styleId="Hyperlink">
    <w:name w:val="Hyperlink"/>
    <w:uiPriority w:val="99"/>
    <w:unhideWhenUsed/>
    <w:rsid w:val="006D511B"/>
    <w:rPr>
      <w:color w:val="0000FF"/>
      <w:u w:val="single"/>
    </w:rPr>
  </w:style>
  <w:style w:type="paragraph" w:styleId="ListParagraph">
    <w:name w:val="List Paragraph"/>
    <w:basedOn w:val="Normal"/>
    <w:uiPriority w:val="34"/>
    <w:qFormat/>
    <w:rsid w:val="006D511B"/>
    <w:pPr>
      <w:ind w:left="720"/>
      <w:contextualSpacing/>
    </w:pPr>
  </w:style>
  <w:style w:type="table" w:styleId="TableGrid">
    <w:name w:val="Table Grid"/>
    <w:basedOn w:val="TableNormal"/>
    <w:uiPriority w:val="59"/>
    <w:rsid w:val="006D511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0E59"/>
    <w:rPr>
      <w:color w:val="605E5C"/>
      <w:shd w:val="clear" w:color="auto" w:fill="E1DFDD"/>
    </w:rPr>
  </w:style>
  <w:style w:type="paragraph" w:styleId="Header">
    <w:name w:val="header"/>
    <w:basedOn w:val="Normal"/>
    <w:link w:val="HeaderChar"/>
    <w:uiPriority w:val="99"/>
    <w:unhideWhenUsed/>
    <w:rsid w:val="00302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69"/>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iance@ocnni.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qsmalpractice@pears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uploads/system/uploads/attachment_data/file/470563/2014-05-02-whistleblowing-policy-raising-concerns-about-a-regulated-qualification-or-a-recognised-awarding-organisati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practice@ocr.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caw.org.uk/" TargetMode="External"/><Relationship Id="rId23" Type="http://schemas.openxmlformats.org/officeDocument/2006/relationships/fontTable" Target="fontTable.xml"/><Relationship Id="rId10" Type="http://schemas.openxmlformats.org/officeDocument/2006/relationships/hyperlink" Target="mailto:malpractice@ccea.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regularities-n@aqa.org.uk" TargetMode="External"/><Relationship Id="rId14" Type="http://schemas.openxmlformats.org/officeDocument/2006/relationships/hyperlink" Target="http://www.jcq.org.uk/exams-office/malpracti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7C96-76D6-421C-8725-EB138C1E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Hanna</dc:creator>
  <cp:keywords/>
  <dc:description/>
  <cp:lastModifiedBy>M Shilliday</cp:lastModifiedBy>
  <cp:revision>3</cp:revision>
  <dcterms:created xsi:type="dcterms:W3CDTF">2022-11-11T11:40:00Z</dcterms:created>
  <dcterms:modified xsi:type="dcterms:W3CDTF">2023-01-18T11:35:00Z</dcterms:modified>
</cp:coreProperties>
</file>